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黑体" w:eastAsia="仿宋_GB2312" w:cs="Times New Roman"/>
          <w:sz w:val="32"/>
          <w:szCs w:val="32"/>
        </w:rPr>
      </w:pPr>
      <w:r>
        <w:rPr>
          <w:rFonts w:hint="eastAsia" w:ascii="仿宋_GB2312" w:hAnsi="黑体" w:eastAsia="仿宋_GB2312" w:cs="Times New Roman"/>
          <w:sz w:val="32"/>
          <w:szCs w:val="32"/>
        </w:rPr>
        <w:t xml:space="preserve">附件3    </w:t>
      </w:r>
    </w:p>
    <w:p>
      <w:pPr>
        <w:jc w:val="center"/>
        <w:rPr>
          <w:rFonts w:ascii="方正小标宋简体" w:hAnsi="微软雅黑" w:eastAsia="方正小标宋简体"/>
          <w:bCs/>
          <w:color w:val="000000"/>
          <w:sz w:val="36"/>
          <w:szCs w:val="36"/>
          <w:shd w:val="clear" w:color="auto" w:fill="FFFFFF"/>
        </w:rPr>
      </w:pPr>
      <w:r>
        <w:rPr>
          <w:rFonts w:hint="eastAsia" w:ascii="方正小标宋简体" w:hAnsi="微软雅黑" w:eastAsia="方正小标宋简体"/>
          <w:bCs/>
          <w:color w:val="000000"/>
          <w:sz w:val="36"/>
          <w:szCs w:val="36"/>
          <w:shd w:val="clear" w:color="auto" w:fill="FFFFFF"/>
        </w:rPr>
        <w:t>福建省2023年“三支一扶”计划省内高校毕业生</w:t>
      </w:r>
    </w:p>
    <w:p>
      <w:pPr>
        <w:jc w:val="center"/>
        <w:rPr>
          <w:rFonts w:ascii="方正小标宋简体" w:hAnsi="微软雅黑" w:eastAsia="方正小标宋简体"/>
          <w:bCs/>
          <w:color w:val="000000"/>
          <w:sz w:val="36"/>
          <w:szCs w:val="36"/>
          <w:shd w:val="clear" w:color="auto" w:fill="FFFFFF"/>
        </w:rPr>
      </w:pPr>
      <w:r>
        <w:rPr>
          <w:rFonts w:hint="eastAsia" w:ascii="方正小标宋简体" w:hAnsi="微软雅黑" w:eastAsia="方正小标宋简体"/>
          <w:bCs/>
          <w:color w:val="000000"/>
          <w:sz w:val="36"/>
          <w:szCs w:val="36"/>
          <w:shd w:val="clear" w:color="auto" w:fill="FFFFFF"/>
        </w:rPr>
        <w:t>审核办法</w:t>
      </w:r>
    </w:p>
    <w:p>
      <w:pPr>
        <w:pStyle w:val="4"/>
        <w:shd w:val="clear" w:color="auto" w:fill="FFFFFF"/>
        <w:spacing w:before="0" w:beforeAutospacing="0" w:after="0" w:afterAutospacing="0" w:line="555" w:lineRule="atLeast"/>
        <w:ind w:firstLine="630"/>
        <w:textAlignment w:val="baseline"/>
        <w:rPr>
          <w:rFonts w:ascii="微软雅黑" w:hAnsi="微软雅黑" w:eastAsia="微软雅黑"/>
          <w:color w:val="000000"/>
          <w:sz w:val="23"/>
          <w:szCs w:val="23"/>
        </w:rPr>
      </w:pPr>
      <w:r>
        <w:rPr>
          <w:rFonts w:hint="eastAsia" w:ascii="黑体" w:hAnsi="黑体" w:eastAsia="黑体"/>
          <w:color w:val="000000"/>
          <w:sz w:val="32"/>
          <w:szCs w:val="32"/>
        </w:rPr>
        <w:t>一、审核机构</w:t>
      </w:r>
    </w:p>
    <w:p>
      <w:pPr>
        <w:pStyle w:val="4"/>
        <w:shd w:val="clear" w:color="auto" w:fill="FFFFFF"/>
        <w:spacing w:before="0" w:beforeAutospacing="0" w:after="0" w:afterAutospacing="0" w:line="555" w:lineRule="atLeast"/>
        <w:ind w:firstLine="630"/>
        <w:textAlignment w:val="baseline"/>
        <w:rPr>
          <w:rFonts w:ascii="微软雅黑" w:hAnsi="微软雅黑" w:eastAsia="微软雅黑"/>
          <w:color w:val="000000"/>
          <w:sz w:val="23"/>
          <w:szCs w:val="23"/>
        </w:rPr>
      </w:pPr>
      <w:r>
        <w:rPr>
          <w:rFonts w:hint="eastAsia" w:ascii="仿宋_GB2312" w:hAnsi="微软雅黑" w:eastAsia="仿宋_GB2312"/>
          <w:color w:val="000000"/>
          <w:sz w:val="32"/>
          <w:szCs w:val="32"/>
        </w:rPr>
        <w:t>2023年福建省“三支一扶”计划省内高校报名人员资格审查、考核评分工作，由报名毕业生所在院校负责。</w:t>
      </w:r>
    </w:p>
    <w:p>
      <w:pPr>
        <w:pStyle w:val="4"/>
        <w:shd w:val="clear" w:color="auto" w:fill="FFFFFF"/>
        <w:spacing w:before="0" w:beforeAutospacing="0" w:after="0" w:afterAutospacing="0" w:line="555" w:lineRule="atLeast"/>
        <w:ind w:firstLine="630"/>
        <w:textAlignment w:val="baseline"/>
        <w:rPr>
          <w:rFonts w:ascii="微软雅黑" w:hAnsi="微软雅黑" w:eastAsia="微软雅黑"/>
          <w:color w:val="000000"/>
          <w:sz w:val="23"/>
          <w:szCs w:val="23"/>
        </w:rPr>
      </w:pPr>
      <w:r>
        <w:rPr>
          <w:rFonts w:hint="eastAsia" w:ascii="黑体" w:hAnsi="黑体" w:eastAsia="黑体"/>
          <w:color w:val="000000"/>
          <w:sz w:val="32"/>
          <w:szCs w:val="32"/>
        </w:rPr>
        <w:t>二、审核对象</w:t>
      </w:r>
    </w:p>
    <w:p>
      <w:pPr>
        <w:pStyle w:val="4"/>
        <w:shd w:val="clear" w:color="auto" w:fill="FFFFFF"/>
        <w:spacing w:before="0" w:beforeAutospacing="0" w:after="0" w:afterAutospacing="0" w:line="555" w:lineRule="atLeast"/>
        <w:ind w:firstLine="630"/>
        <w:textAlignment w:val="baseline"/>
        <w:rPr>
          <w:rFonts w:ascii="微软雅黑" w:hAnsi="微软雅黑" w:eastAsia="微软雅黑"/>
          <w:color w:val="000000"/>
          <w:sz w:val="23"/>
          <w:szCs w:val="23"/>
        </w:rPr>
      </w:pPr>
      <w:r>
        <w:rPr>
          <w:rFonts w:hint="eastAsia" w:ascii="仿宋_GB2312" w:hAnsi="微软雅黑" w:eastAsia="仿宋_GB2312"/>
          <w:color w:val="000000"/>
          <w:sz w:val="32"/>
          <w:szCs w:val="32"/>
        </w:rPr>
        <w:t>报名参加2023年福建省“三支一扶”计划的省内全日制普通高校毕业生。</w:t>
      </w:r>
    </w:p>
    <w:p>
      <w:pPr>
        <w:pStyle w:val="4"/>
        <w:shd w:val="clear" w:color="auto" w:fill="FFFFFF"/>
        <w:spacing w:before="0" w:beforeAutospacing="0" w:after="0" w:afterAutospacing="0" w:line="555" w:lineRule="atLeast"/>
        <w:ind w:firstLine="630"/>
        <w:textAlignment w:val="baseline"/>
        <w:rPr>
          <w:rFonts w:ascii="微软雅黑" w:hAnsi="微软雅黑" w:eastAsia="微软雅黑"/>
          <w:color w:val="000000"/>
          <w:sz w:val="23"/>
          <w:szCs w:val="23"/>
        </w:rPr>
      </w:pPr>
      <w:r>
        <w:rPr>
          <w:rFonts w:hint="eastAsia" w:ascii="黑体" w:hAnsi="黑体" w:eastAsia="黑体"/>
          <w:color w:val="000000"/>
          <w:sz w:val="32"/>
          <w:szCs w:val="32"/>
        </w:rPr>
        <w:t>三、审核方式</w:t>
      </w:r>
    </w:p>
    <w:p>
      <w:pPr>
        <w:pStyle w:val="4"/>
        <w:shd w:val="clear" w:color="auto" w:fill="FFFFFF"/>
        <w:spacing w:before="0" w:beforeAutospacing="0" w:after="0" w:afterAutospacing="0" w:line="555" w:lineRule="atLeast"/>
        <w:ind w:firstLine="630"/>
        <w:textAlignment w:val="baseline"/>
        <w:rPr>
          <w:rFonts w:ascii="微软雅黑" w:hAnsi="微软雅黑" w:eastAsia="微软雅黑"/>
          <w:color w:val="000000"/>
          <w:sz w:val="23"/>
          <w:szCs w:val="23"/>
        </w:rPr>
      </w:pPr>
      <w:r>
        <w:rPr>
          <w:rFonts w:hint="eastAsia" w:ascii="仿宋_GB2312" w:hAnsi="微软雅黑" w:eastAsia="仿宋_GB2312"/>
          <w:color w:val="000000"/>
          <w:sz w:val="32"/>
          <w:szCs w:val="32"/>
        </w:rPr>
        <w:t>院校登录福建省毕业生就业创业公共服务网（以下简称公共服务网，网址：http://220.160.52.58/）进行网上资格审查、考核评分。</w:t>
      </w:r>
    </w:p>
    <w:p>
      <w:pPr>
        <w:pStyle w:val="4"/>
        <w:shd w:val="clear" w:color="auto" w:fill="FFFFFF"/>
        <w:spacing w:before="0" w:beforeAutospacing="0" w:after="0" w:afterAutospacing="0" w:line="555" w:lineRule="atLeast"/>
        <w:ind w:firstLine="630"/>
        <w:textAlignment w:val="baseline"/>
        <w:rPr>
          <w:rFonts w:ascii="微软雅黑" w:hAnsi="微软雅黑" w:eastAsia="微软雅黑"/>
          <w:color w:val="000000"/>
          <w:sz w:val="23"/>
          <w:szCs w:val="23"/>
        </w:rPr>
      </w:pPr>
      <w:r>
        <w:rPr>
          <w:rFonts w:hint="eastAsia" w:ascii="黑体" w:hAnsi="黑体" w:eastAsia="黑体"/>
          <w:color w:val="000000"/>
          <w:sz w:val="32"/>
          <w:szCs w:val="32"/>
        </w:rPr>
        <w:t>四、审核内容</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Fonts w:hint="eastAsia" w:ascii="楷体_GB2312" w:hAnsi="微软雅黑" w:eastAsia="楷体_GB2312"/>
          <w:color w:val="000000"/>
          <w:sz w:val="32"/>
          <w:szCs w:val="32"/>
        </w:rPr>
        <w:t>（一）资格审查</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Style w:val="7"/>
          <w:rFonts w:hint="eastAsia" w:ascii="仿宋_GB2312" w:hAnsi="微软雅黑" w:eastAsia="仿宋_GB2312"/>
          <w:color w:val="000000"/>
          <w:sz w:val="32"/>
          <w:szCs w:val="32"/>
        </w:rPr>
        <w:t>1.生源地审核。</w:t>
      </w:r>
      <w:r>
        <w:rPr>
          <w:rFonts w:hint="eastAsia" w:ascii="仿宋_GB2312" w:hAnsi="微软雅黑" w:eastAsia="仿宋_GB2312"/>
          <w:color w:val="000000"/>
          <w:sz w:val="32"/>
          <w:szCs w:val="32"/>
        </w:rPr>
        <w:t>是否为岗位所在设区市生源毕业生（生源地指入学前户籍所在地）。</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Fonts w:hint="eastAsia" w:ascii="仿宋_GB2312" w:hAnsi="微软雅黑" w:eastAsia="仿宋_GB2312"/>
          <w:color w:val="000000"/>
          <w:sz w:val="32"/>
          <w:szCs w:val="32"/>
        </w:rPr>
        <w:t>审查方式：查验报名人员的生源地和报名单位所在地。</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Fonts w:hint="eastAsia" w:ascii="仿宋_GB2312" w:hAnsi="微软雅黑" w:eastAsia="仿宋_GB2312"/>
          <w:color w:val="000000"/>
          <w:sz w:val="32"/>
          <w:szCs w:val="32"/>
        </w:rPr>
        <w:t>审查字段：岗位类别、生源地、单位所在地。</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Fonts w:hint="eastAsia" w:ascii="仿宋_GB2312" w:hAnsi="微软雅黑" w:eastAsia="仿宋_GB2312"/>
          <w:color w:val="000000"/>
          <w:sz w:val="32"/>
          <w:szCs w:val="32"/>
        </w:rPr>
        <w:t>审查标准：岗位类别为“省级岗位”的，本审查项可审核通过。报名龙岩市“市级岗位”的毕业生，须是龙岩市生源（指入学前户口所在地为龙岩市辖区各县（市、区））或毕业院校所在地为龙岩市的，如否，则审核不通过。</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Style w:val="7"/>
          <w:rFonts w:hint="eastAsia" w:ascii="仿宋_GB2312" w:hAnsi="微软雅黑" w:eastAsia="仿宋_GB2312"/>
          <w:color w:val="000000"/>
          <w:sz w:val="32"/>
          <w:szCs w:val="32"/>
        </w:rPr>
        <w:t>2.学历、毕业时间审核。</w:t>
      </w:r>
      <w:r>
        <w:rPr>
          <w:rFonts w:hint="eastAsia" w:ascii="仿宋_GB2312" w:hAnsi="微软雅黑" w:eastAsia="仿宋_GB2312"/>
          <w:color w:val="000000"/>
          <w:sz w:val="32"/>
          <w:szCs w:val="32"/>
        </w:rPr>
        <w:t>是否属于按照国家普通高等学校招生计划招收的全日制普通高校本专科毕业生和国家统一下达招生计划，考试招生执行相同政策和标准的全日制、非全日制研究生；是否满足报名条件要求的取得毕业资格截止时间。</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Fonts w:hint="eastAsia" w:ascii="仿宋_GB2312" w:hAnsi="微软雅黑" w:eastAsia="仿宋_GB2312"/>
          <w:color w:val="000000"/>
          <w:sz w:val="32"/>
          <w:szCs w:val="32"/>
        </w:rPr>
        <w:t>审查方式：查验报名人员的毕业时间及学历。</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Fonts w:hint="eastAsia" w:ascii="仿宋_GB2312" w:hAnsi="微软雅黑" w:eastAsia="仿宋_GB2312"/>
          <w:color w:val="000000"/>
          <w:sz w:val="32"/>
          <w:szCs w:val="32"/>
        </w:rPr>
        <w:t>审查字段：毕业日期、学历。</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Fonts w:hint="eastAsia" w:ascii="仿宋_GB2312" w:hAnsi="微软雅黑" w:eastAsia="仿宋_GB2312"/>
          <w:color w:val="000000"/>
          <w:sz w:val="32"/>
          <w:szCs w:val="32"/>
        </w:rPr>
        <w:t>审查标准：全日制本专科学历，毕业时间应在2023年8月31日及之前（研究生放宽至12月31日），应届毕业生统一认定为符合毕业时间条件，如否，则审核不通过。</w:t>
      </w:r>
      <w:r>
        <w:rPr>
          <w:rStyle w:val="7"/>
          <w:rFonts w:hint="eastAsia" w:ascii="仿宋_GB2312" w:hAnsi="微软雅黑" w:eastAsia="仿宋_GB2312"/>
          <w:color w:val="000000"/>
          <w:sz w:val="32"/>
          <w:szCs w:val="32"/>
        </w:rPr>
        <w:t>（学历应规范填报为专科生毕业、本科生毕业、硕士生毕业）</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Style w:val="7"/>
          <w:rFonts w:hint="eastAsia" w:ascii="仿宋_GB2312" w:hAnsi="微软雅黑" w:eastAsia="仿宋_GB2312"/>
          <w:color w:val="000000"/>
          <w:sz w:val="32"/>
          <w:szCs w:val="32"/>
        </w:rPr>
        <w:t>3.在校表现情况审核</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Fonts w:hint="eastAsia" w:ascii="仿宋_GB2312" w:hAnsi="微软雅黑" w:eastAsia="仿宋_GB2312"/>
          <w:color w:val="000000"/>
          <w:sz w:val="32"/>
          <w:szCs w:val="32"/>
        </w:rPr>
        <w:t>（1）是否有违法违纪违规行为。</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Fonts w:hint="eastAsia" w:ascii="仿宋_GB2312" w:hAnsi="微软雅黑" w:eastAsia="仿宋_GB2312"/>
          <w:color w:val="000000"/>
          <w:sz w:val="32"/>
          <w:szCs w:val="32"/>
        </w:rPr>
        <w:t>审查标准：报名人员在校期间有违法违纪违规行为，并受过严重警告及以上处分的，审核不通过。</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Fonts w:hint="eastAsia" w:ascii="仿宋_GB2312" w:hAnsi="微软雅黑" w:eastAsia="仿宋_GB2312"/>
          <w:color w:val="000000"/>
          <w:sz w:val="32"/>
          <w:szCs w:val="32"/>
        </w:rPr>
        <w:t>（2）是否必修（主修）科目达标。</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Fonts w:hint="eastAsia" w:ascii="仿宋_GB2312" w:hAnsi="微软雅黑" w:eastAsia="仿宋_GB2312"/>
          <w:color w:val="000000"/>
          <w:sz w:val="32"/>
          <w:szCs w:val="32"/>
        </w:rPr>
        <w:t>审查标准：报名人员在读期间必修（主修）科目补考3门或3次（含3门或3次）以上的，审核不通过。</w:t>
      </w:r>
    </w:p>
    <w:p>
      <w:pPr>
        <w:pStyle w:val="4"/>
        <w:shd w:val="clear" w:color="auto" w:fill="FFFFFF"/>
        <w:spacing w:before="0" w:beforeAutospacing="0" w:after="0" w:afterAutospacing="0" w:line="555" w:lineRule="atLeast"/>
        <w:ind w:firstLine="645"/>
        <w:jc w:val="both"/>
        <w:textAlignment w:val="baseline"/>
        <w:rPr>
          <w:rFonts w:ascii="微软雅黑" w:hAnsi="微软雅黑" w:eastAsia="微软雅黑"/>
          <w:color w:val="000000"/>
          <w:sz w:val="23"/>
          <w:szCs w:val="23"/>
        </w:rPr>
      </w:pPr>
      <w:r>
        <w:rPr>
          <w:rStyle w:val="7"/>
          <w:rFonts w:hint="eastAsia" w:ascii="仿宋_GB2312" w:hAnsi="微软雅黑" w:eastAsia="仿宋_GB2312"/>
          <w:color w:val="000000"/>
          <w:sz w:val="32"/>
          <w:szCs w:val="32"/>
        </w:rPr>
        <w:t>4.基本信息审核。</w:t>
      </w:r>
      <w:r>
        <w:rPr>
          <w:rFonts w:hint="eastAsia" w:ascii="仿宋_GB2312" w:hAnsi="微软雅黑" w:eastAsia="仿宋_GB2312"/>
          <w:color w:val="000000"/>
          <w:sz w:val="32"/>
          <w:szCs w:val="32"/>
        </w:rPr>
        <w:t>审核报名人员信息，包括</w:t>
      </w:r>
      <w:r>
        <w:rPr>
          <w:rStyle w:val="7"/>
          <w:rFonts w:hint="eastAsia" w:ascii="仿宋_GB2312" w:hAnsi="微软雅黑" w:eastAsia="仿宋_GB2312"/>
          <w:color w:val="000000"/>
          <w:sz w:val="32"/>
          <w:szCs w:val="32"/>
        </w:rPr>
        <w:t>生源地、民族、学历、专业、政治面貌</w:t>
      </w:r>
      <w:r>
        <w:rPr>
          <w:rFonts w:hint="eastAsia" w:ascii="仿宋_GB2312" w:hAnsi="微软雅黑" w:eastAsia="仿宋_GB2312"/>
          <w:color w:val="000000"/>
          <w:sz w:val="32"/>
          <w:szCs w:val="32"/>
        </w:rPr>
        <w:t>（包括群众、共青团员、入党积极分子、党员发展对象、中共预备党员、中共党员等）</w:t>
      </w:r>
      <w:r>
        <w:rPr>
          <w:rStyle w:val="7"/>
          <w:rFonts w:hint="eastAsia" w:ascii="仿宋_GB2312" w:hAnsi="微软雅黑" w:eastAsia="仿宋_GB2312"/>
          <w:color w:val="000000"/>
          <w:sz w:val="32"/>
          <w:szCs w:val="32"/>
        </w:rPr>
        <w:t>、在校奖惩情况</w:t>
      </w:r>
      <w:r>
        <w:rPr>
          <w:rFonts w:hint="eastAsia" w:ascii="仿宋_GB2312" w:hAnsi="微软雅黑" w:eastAsia="仿宋_GB2312"/>
          <w:color w:val="000000"/>
          <w:sz w:val="32"/>
          <w:szCs w:val="32"/>
        </w:rPr>
        <w:t>。如有不符之处，及时审核退回并通知报名人员在规定的报名和院校审查考核时间内完善后提交。</w:t>
      </w:r>
    </w:p>
    <w:p>
      <w:pPr>
        <w:pStyle w:val="4"/>
        <w:shd w:val="clear" w:color="auto" w:fill="FFFFFF"/>
        <w:spacing w:before="0" w:beforeAutospacing="0" w:after="0" w:afterAutospacing="0" w:line="525" w:lineRule="atLeast"/>
        <w:ind w:firstLine="630"/>
        <w:textAlignment w:val="baseline"/>
        <w:rPr>
          <w:rFonts w:ascii="微软雅黑" w:hAnsi="微软雅黑" w:eastAsia="仿宋_GB2312"/>
          <w:color w:val="000000"/>
          <w:sz w:val="23"/>
          <w:szCs w:val="23"/>
        </w:rPr>
      </w:pPr>
      <w:r>
        <w:rPr>
          <w:rFonts w:hint="eastAsia" w:ascii="仿宋_GB2312" w:hAnsi="微软雅黑" w:eastAsia="仿宋_GB2312"/>
          <w:color w:val="000000"/>
          <w:sz w:val="32"/>
          <w:szCs w:val="32"/>
        </w:rPr>
        <w:t>报名人员</w:t>
      </w:r>
      <w:r>
        <w:rPr>
          <w:rStyle w:val="7"/>
          <w:rFonts w:hint="eastAsia" w:ascii="仿宋_GB2312" w:hAnsi="微软雅黑" w:eastAsia="仿宋_GB2312"/>
          <w:color w:val="000000"/>
          <w:sz w:val="32"/>
          <w:szCs w:val="32"/>
        </w:rPr>
        <w:t>困难状况</w:t>
      </w:r>
      <w:r>
        <w:rPr>
          <w:rStyle w:val="7"/>
          <w:rFonts w:hint="eastAsia" w:ascii="仿宋_GB2312" w:hAnsi="微软雅黑" w:eastAsia="仿宋_GB2312"/>
          <w:b w:val="0"/>
          <w:bCs w:val="0"/>
          <w:color w:val="000000"/>
          <w:sz w:val="32"/>
          <w:szCs w:val="32"/>
        </w:rPr>
        <w:t>（</w:t>
      </w:r>
      <w:r>
        <w:rPr>
          <w:rFonts w:hint="eastAsia" w:ascii="仿宋_GB2312" w:hAnsi="微软雅黑" w:eastAsia="仿宋_GB2312"/>
          <w:color w:val="000000"/>
          <w:sz w:val="32"/>
          <w:szCs w:val="32"/>
        </w:rPr>
        <w:t>脱贫户家庭高校毕业生、城乡低保家庭高校毕业生、特困人员高校毕业生）由公共服务网通过大数据比对自动审核，系统显现</w:t>
      </w:r>
      <w:r>
        <w:rPr>
          <w:rStyle w:val="7"/>
          <w:rFonts w:hint="eastAsia" w:ascii="仿宋_GB2312" w:hAnsi="微软雅黑" w:eastAsia="仿宋_GB2312"/>
          <w:color w:val="000000"/>
          <w:sz w:val="32"/>
          <w:szCs w:val="32"/>
        </w:rPr>
        <w:t>“校验通过”</w:t>
      </w:r>
      <w:r>
        <w:rPr>
          <w:rFonts w:hint="eastAsia" w:ascii="仿宋_GB2312" w:hAnsi="微软雅黑" w:eastAsia="仿宋_GB2312"/>
          <w:color w:val="000000"/>
          <w:sz w:val="32"/>
          <w:szCs w:val="32"/>
        </w:rPr>
        <w:t>的，不需要上传材料。</w:t>
      </w:r>
      <w:r>
        <w:rPr>
          <w:rStyle w:val="7"/>
          <w:rFonts w:hint="eastAsia" w:ascii="仿宋_GB2312" w:hAnsi="微软雅黑" w:eastAsia="仿宋_GB2312"/>
          <w:color w:val="000000"/>
          <w:sz w:val="32"/>
          <w:szCs w:val="32"/>
        </w:rPr>
        <w:t>“校验不通过”</w:t>
      </w:r>
      <w:r>
        <w:rPr>
          <w:rStyle w:val="7"/>
          <w:rFonts w:hint="eastAsia" w:ascii="仿宋_GB2312" w:hAnsi="微软雅黑" w:eastAsia="仿宋_GB2312"/>
          <w:b w:val="0"/>
          <w:bCs w:val="0"/>
          <w:color w:val="000000"/>
          <w:sz w:val="32"/>
          <w:szCs w:val="32"/>
        </w:rPr>
        <w:t>但认为自己属于上述困难状况的报名人员，需自行上传佐证材料，由报考岗位所在设区市人社部门人工审核，院校无需审核</w:t>
      </w:r>
      <w:r>
        <w:rPr>
          <w:rFonts w:hint="eastAsia" w:ascii="仿宋_GB2312" w:hAnsi="微软雅黑" w:eastAsia="仿宋_GB2312"/>
          <w:color w:val="000000"/>
          <w:sz w:val="32"/>
          <w:szCs w:val="32"/>
        </w:rPr>
        <w:t>。</w:t>
      </w:r>
    </w:p>
    <w:p>
      <w:pPr>
        <w:pStyle w:val="4"/>
        <w:shd w:val="clear" w:color="auto" w:fill="FFFFFF"/>
        <w:spacing w:before="0" w:beforeAutospacing="0" w:after="0" w:afterAutospacing="0" w:line="555" w:lineRule="atLeast"/>
        <w:ind w:firstLine="645"/>
        <w:textAlignment w:val="baseline"/>
        <w:rPr>
          <w:rFonts w:ascii="仿宋_GB2312" w:hAnsi="微软雅黑" w:eastAsia="仿宋_GB2312"/>
          <w:color w:val="000000"/>
          <w:sz w:val="32"/>
          <w:szCs w:val="32"/>
        </w:rPr>
      </w:pPr>
      <w:r>
        <w:rPr>
          <w:rFonts w:hint="eastAsia" w:ascii="仿宋_GB2312" w:hAnsi="微软雅黑" w:eastAsia="仿宋_GB2312"/>
          <w:color w:val="000000"/>
          <w:sz w:val="32"/>
          <w:szCs w:val="32"/>
        </w:rPr>
        <w:t>以上审查项目均符合报名对象和条件要求的，该报名人员的资格审查即通过，审查结果通过公共服务网反馈给报名人员。如毕业生对资格审查结果有异议的，应在规定的报名和院校审查考核时间内联系所在院校申请复核。</w:t>
      </w:r>
    </w:p>
    <w:p>
      <w:pPr>
        <w:pStyle w:val="4"/>
        <w:numPr>
          <w:ilvl w:val="0"/>
          <w:numId w:val="1"/>
        </w:numPr>
        <w:shd w:val="clear" w:color="auto" w:fill="FFFFFF"/>
        <w:spacing w:before="0" w:beforeAutospacing="0" w:after="0" w:afterAutospacing="0" w:line="555" w:lineRule="atLeast"/>
        <w:ind w:firstLine="645"/>
        <w:textAlignment w:val="baseline"/>
        <w:rPr>
          <w:rFonts w:ascii="楷体_GB2312" w:hAnsi="微软雅黑" w:eastAsia="楷体_GB2312"/>
          <w:color w:val="000000"/>
          <w:sz w:val="32"/>
          <w:szCs w:val="32"/>
        </w:rPr>
      </w:pPr>
      <w:r>
        <w:rPr>
          <w:rFonts w:hint="eastAsia" w:ascii="楷体_GB2312" w:hAnsi="微软雅黑" w:eastAsia="楷体_GB2312"/>
          <w:color w:val="000000"/>
          <w:sz w:val="32"/>
          <w:szCs w:val="32"/>
        </w:rPr>
        <w:t>特设岗位审核</w:t>
      </w:r>
    </w:p>
    <w:p>
      <w:pPr>
        <w:pStyle w:val="4"/>
        <w:shd w:val="clear" w:color="auto" w:fill="FFFFFF"/>
        <w:spacing w:before="0" w:beforeAutospacing="0" w:after="0" w:afterAutospacing="0" w:line="555" w:lineRule="atLeast"/>
        <w:ind w:firstLine="960" w:firstLineChars="300"/>
        <w:textAlignment w:val="baseline"/>
        <w:rPr>
          <w:rFonts w:ascii="仿宋_GB2312" w:hAnsi="微软雅黑" w:eastAsia="仿宋_GB2312"/>
          <w:color w:val="000000"/>
          <w:sz w:val="32"/>
          <w:szCs w:val="32"/>
        </w:rPr>
      </w:pPr>
      <w:r>
        <w:rPr>
          <w:rFonts w:hint="eastAsia" w:ascii="仿宋_GB2312" w:hAnsi="微软雅黑" w:eastAsia="仿宋_GB2312"/>
          <w:color w:val="000000"/>
          <w:sz w:val="32"/>
          <w:szCs w:val="32"/>
        </w:rPr>
        <w:t>审核报名省级“三支一扶”计划台湾籍高校毕业生特设岗位的报名人员是否为本校台湾籍高校毕业生，并审核其学历、毕业时间，在校表现情况，基本信息（参照“（一）资格审查”执行），以上均符合的资格审查即通过。</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Fonts w:hint="eastAsia" w:ascii="楷体_GB2312" w:hAnsi="微软雅黑" w:eastAsia="楷体_GB2312"/>
          <w:color w:val="000000"/>
          <w:sz w:val="32"/>
          <w:szCs w:val="32"/>
        </w:rPr>
        <w:t>（三）考核评分</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Style w:val="7"/>
          <w:rFonts w:hint="eastAsia" w:ascii="仿宋_GB2312" w:hAnsi="微软雅黑" w:eastAsia="仿宋_GB2312"/>
          <w:color w:val="000000"/>
          <w:sz w:val="32"/>
          <w:szCs w:val="32"/>
        </w:rPr>
        <w:t>1.专业成绩排名情况（满分15分）。按照报名人员所有学年学科总成绩在专业排名情况，进行量化评分</w:t>
      </w:r>
      <w:r>
        <w:rPr>
          <w:rFonts w:hint="eastAsia" w:ascii="仿宋_GB2312" w:hAnsi="微软雅黑" w:eastAsia="仿宋_GB2312"/>
          <w:color w:val="000000"/>
          <w:sz w:val="32"/>
          <w:szCs w:val="32"/>
        </w:rPr>
        <w:t>（如报名审核阶段，应届毕业生最后一学期/学年成绩未出的，按照已有学年学科总成绩排名评分，评分按照四舍五入取值，汇总表填报应精确到小数点后两位）：专业成绩排名前5%，得15分；专业成绩排名每增加1%，分数减少0.2分，如6%得14.8分、7%得14.6分，以此类推，59%得4.2分，60%得4分，专业成绩排名61%（含）以外，不得分。</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Style w:val="7"/>
          <w:rFonts w:hint="eastAsia" w:ascii="仿宋_GB2312" w:hAnsi="微软雅黑" w:eastAsia="仿宋_GB2312"/>
          <w:color w:val="000000"/>
          <w:sz w:val="32"/>
          <w:szCs w:val="32"/>
        </w:rPr>
        <w:t>2.获得荣誉（奖学金、奖项）情况（满分10分）。</w:t>
      </w:r>
      <w:r>
        <w:rPr>
          <w:rFonts w:hint="eastAsia" w:ascii="仿宋_GB2312" w:hAnsi="微软雅黑" w:eastAsia="仿宋_GB2312"/>
          <w:color w:val="000000"/>
          <w:sz w:val="32"/>
          <w:szCs w:val="32"/>
        </w:rPr>
        <w:t>根据报名人员在校获得荣誉（奖学金、奖项）情况，进行量化评分：</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Fonts w:hint="eastAsia" w:ascii="仿宋_GB2312" w:hAnsi="微软雅黑" w:eastAsia="仿宋_GB2312"/>
          <w:color w:val="000000"/>
          <w:sz w:val="32"/>
          <w:szCs w:val="32"/>
        </w:rPr>
        <w:t>（1）获得国家级赛事奖项；获得省级及以上荣誉（奖学金）；青年马克思主义培养工程省级班结业学员,得10分。</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Fonts w:hint="eastAsia" w:ascii="仿宋_GB2312" w:hAnsi="微软雅黑" w:eastAsia="仿宋_GB2312"/>
          <w:color w:val="000000"/>
          <w:sz w:val="32"/>
          <w:szCs w:val="32"/>
        </w:rPr>
        <w:t>（2）获得市级荣誉（奖学金）；青年马克思主义培养工程市级班结业学员,得8分。</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Fonts w:hint="eastAsia" w:ascii="仿宋_GB2312" w:hAnsi="微软雅黑" w:eastAsia="仿宋_GB2312"/>
          <w:color w:val="000000"/>
          <w:sz w:val="32"/>
          <w:szCs w:val="32"/>
        </w:rPr>
        <w:t>（3）获得省级赛事（活动）奖项；获得校级荣誉（奖学金，含校级以上家庭经济困难学生奖学金）,青年马克思主义培养工程校级班结业学员得5分。</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Fonts w:hint="eastAsia" w:ascii="仿宋_GB2312" w:hAnsi="微软雅黑" w:eastAsia="仿宋_GB2312"/>
          <w:color w:val="000000"/>
          <w:sz w:val="32"/>
          <w:szCs w:val="32"/>
        </w:rPr>
        <w:t>获得荣誉（奖学金）包括在校获省级及以上、设区市级、校级</w:t>
      </w:r>
      <w:r>
        <w:rPr>
          <w:rFonts w:hint="eastAsia" w:ascii="仿宋_GB2312" w:hAnsi="微软雅黑" w:eastAsia="仿宋_GB2312"/>
          <w:b/>
          <w:bCs/>
          <w:color w:val="000000"/>
          <w:sz w:val="32"/>
          <w:szCs w:val="32"/>
        </w:rPr>
        <w:t>优秀学生干部、优秀学生、优秀团干、三好学生、优秀毕业生</w:t>
      </w:r>
      <w:r>
        <w:rPr>
          <w:rFonts w:hint="eastAsia" w:ascii="仿宋_GB2312" w:hAnsi="微软雅黑" w:eastAsia="仿宋_GB2312"/>
          <w:color w:val="000000"/>
          <w:sz w:val="32"/>
          <w:szCs w:val="32"/>
        </w:rPr>
        <w:t>荣誉称号。获得奖学金不包括捐助类奖学金、助学金，国家励志奖学金等校级以上家庭经济困难类奖学金按照校级奖学金评分，获得家庭经济困难类奖学金报名人员已享受困难状况加分，也不再重复加分。获得奖项包括政府部门主办</w:t>
      </w:r>
      <w:r>
        <w:rPr>
          <w:rFonts w:hint="eastAsia" w:ascii="仿宋_GB2312" w:hAnsi="微软雅黑" w:eastAsia="仿宋_GB2312"/>
          <w:b/>
          <w:bCs/>
          <w:color w:val="000000"/>
          <w:sz w:val="32"/>
          <w:szCs w:val="32"/>
        </w:rPr>
        <w:t>省级及以上职业技能大赛、职业规划大赛、创新创业大赛三等奖及以上、大中专毕业生创业省级资助。</w:t>
      </w:r>
      <w:r>
        <w:rPr>
          <w:rStyle w:val="7"/>
          <w:rFonts w:hint="eastAsia" w:ascii="仿宋_GB2312" w:hAnsi="微软雅黑" w:eastAsia="仿宋_GB2312"/>
          <w:color w:val="000000"/>
          <w:sz w:val="32"/>
          <w:szCs w:val="32"/>
        </w:rPr>
        <w:t>荣誉（奖学金、奖项）以提供的证书为准（校级以上荣誉、奖学金证书应有政府部门公章，校级证书应有学校公章，不包括院校部处、二级学院或院系所发证书）</w:t>
      </w:r>
      <w:r>
        <w:rPr>
          <w:rFonts w:hint="eastAsia" w:ascii="仿宋_GB2312" w:hAnsi="微软雅黑" w:eastAsia="仿宋_GB2312"/>
          <w:color w:val="000000"/>
          <w:sz w:val="32"/>
          <w:szCs w:val="32"/>
        </w:rPr>
        <w:t>。</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Fonts w:hint="eastAsia" w:ascii="仿宋_GB2312" w:hAnsi="微软雅黑" w:eastAsia="仿宋_GB2312"/>
          <w:color w:val="000000"/>
          <w:sz w:val="32"/>
          <w:szCs w:val="32"/>
        </w:rPr>
        <w:t>以上荣誉（奖学金、奖项），按照就高原则评分，不累计加分。报名人员专业成绩排名、获得荣誉（奖学金）情况应是在</w:t>
      </w:r>
      <w:r>
        <w:rPr>
          <w:rStyle w:val="7"/>
          <w:rFonts w:hint="eastAsia" w:ascii="仿宋_GB2312" w:hAnsi="微软雅黑" w:eastAsia="仿宋_GB2312"/>
          <w:color w:val="000000"/>
          <w:sz w:val="32"/>
          <w:szCs w:val="32"/>
        </w:rPr>
        <w:t>报名学历期间</w:t>
      </w:r>
      <w:r>
        <w:rPr>
          <w:rFonts w:hint="eastAsia" w:ascii="仿宋_GB2312" w:hAnsi="微软雅黑" w:eastAsia="仿宋_GB2312"/>
          <w:color w:val="000000"/>
          <w:sz w:val="32"/>
          <w:szCs w:val="32"/>
        </w:rPr>
        <w:t>取得。</w:t>
      </w:r>
    </w:p>
    <w:p>
      <w:pPr>
        <w:pStyle w:val="4"/>
        <w:shd w:val="clear" w:color="auto" w:fill="FFFFFF"/>
        <w:spacing w:before="0" w:beforeAutospacing="0" w:after="0" w:afterAutospacing="0" w:line="555" w:lineRule="atLeast"/>
        <w:ind w:firstLine="645"/>
        <w:textAlignment w:val="baseline"/>
        <w:rPr>
          <w:rFonts w:ascii="微软雅黑" w:hAnsi="微软雅黑" w:eastAsia="微软雅黑"/>
          <w:color w:val="000000"/>
          <w:sz w:val="23"/>
          <w:szCs w:val="23"/>
        </w:rPr>
      </w:pPr>
      <w:r>
        <w:rPr>
          <w:rFonts w:hint="eastAsia" w:ascii="黑体" w:hAnsi="黑体" w:eastAsia="黑体"/>
          <w:color w:val="000000"/>
          <w:sz w:val="32"/>
          <w:szCs w:val="32"/>
        </w:rPr>
        <w:t>五、工作要求</w:t>
      </w:r>
    </w:p>
    <w:p>
      <w:pPr>
        <w:pStyle w:val="4"/>
        <w:shd w:val="clear" w:color="auto" w:fill="FFFFFF"/>
        <w:spacing w:before="0" w:beforeAutospacing="0" w:after="0" w:afterAutospacing="0" w:line="555" w:lineRule="atLeast"/>
        <w:ind w:firstLine="645"/>
        <w:textAlignment w:val="baseline"/>
        <w:rPr>
          <w:rFonts w:ascii="仿宋_GB2312" w:hAnsi="微软雅黑" w:eastAsia="仿宋_GB2312"/>
          <w:color w:val="000000"/>
          <w:sz w:val="32"/>
          <w:szCs w:val="32"/>
        </w:rPr>
      </w:pPr>
      <w:r>
        <w:rPr>
          <w:rFonts w:hint="eastAsia" w:ascii="仿宋_GB2312" w:hAnsi="微软雅黑" w:eastAsia="仿宋_GB2312"/>
          <w:color w:val="000000"/>
          <w:sz w:val="32"/>
          <w:szCs w:val="32"/>
        </w:rPr>
        <w:t>坚持“谁审核、谁把关、谁负责”的原则，省大中专毕业生就业工作领导小组办公室负责报名人员审核工作的统筹指导，各院校负责报名人员审核工作的具体组织实施。各院校应于</w:t>
      </w:r>
      <w:r>
        <w:rPr>
          <w:rStyle w:val="7"/>
          <w:rFonts w:hint="eastAsia" w:ascii="仿宋_GB2312" w:hAnsi="微软雅黑" w:eastAsia="仿宋_GB2312"/>
          <w:color w:val="000000"/>
          <w:sz w:val="32"/>
          <w:szCs w:val="32"/>
        </w:rPr>
        <w:t>6月25日前</w:t>
      </w:r>
      <w:r>
        <w:rPr>
          <w:rFonts w:hint="eastAsia" w:ascii="仿宋_GB2312" w:hAnsi="微软雅黑" w:eastAsia="仿宋_GB2312"/>
          <w:color w:val="000000"/>
          <w:sz w:val="32"/>
          <w:szCs w:val="32"/>
        </w:rPr>
        <w:t>完成审核工作，并将《福建省2023年“三支一扶”计划省内高校毕业生报名人员考核汇总表》加盖院校或就业工作部门公章后于6月30日前</w:t>
      </w:r>
      <w:r>
        <w:rPr>
          <w:rFonts w:hint="eastAsia" w:ascii="仿宋_GB2312" w:hAnsi="微软雅黑" w:eastAsia="仿宋_GB2312"/>
          <w:b/>
          <w:bCs/>
          <w:color w:val="000000"/>
          <w:sz w:val="32"/>
          <w:szCs w:val="32"/>
        </w:rPr>
        <w:t>寄送至报送</w:t>
      </w:r>
      <w:r>
        <w:rPr>
          <w:rStyle w:val="7"/>
          <w:rFonts w:hint="eastAsia" w:ascii="仿宋_GB2312" w:hAnsi="微软雅黑" w:eastAsia="仿宋_GB2312"/>
          <w:color w:val="000000"/>
          <w:sz w:val="32"/>
          <w:szCs w:val="32"/>
        </w:rPr>
        <w:t>岗位所在地人社局（注意：按照报名岗位所在地分别即送对应设区市人社部门）</w:t>
      </w:r>
      <w:r>
        <w:rPr>
          <w:rFonts w:hint="eastAsia" w:ascii="仿宋_GB2312" w:hAnsi="微软雅黑" w:eastAsia="仿宋_GB2312"/>
          <w:color w:val="000000"/>
          <w:sz w:val="32"/>
          <w:szCs w:val="32"/>
        </w:rPr>
        <w:t>。审核过程中，如出现徇私舞弊或失职渎职的，将依照相关规定追究有关人员责任。</w:t>
      </w:r>
    </w:p>
    <w:p>
      <w:pPr>
        <w:pStyle w:val="4"/>
        <w:shd w:val="clear" w:color="auto" w:fill="FFFFFF"/>
        <w:spacing w:before="0" w:beforeAutospacing="0" w:after="0" w:afterAutospacing="0" w:line="555" w:lineRule="atLeast"/>
        <w:ind w:firstLine="645"/>
        <w:textAlignment w:val="baseline"/>
        <w:rPr>
          <w:rFonts w:ascii="仿宋_GB2312" w:hAnsi="仿宋_GB2312" w:eastAsia="仿宋_GB2312" w:cs="仿宋_GB2312"/>
          <w:sz w:val="32"/>
          <w:szCs w:val="32"/>
        </w:rPr>
      </w:pPr>
    </w:p>
    <w:p>
      <w:pPr>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（龙岩市人社局“三支一扶”业务经办部门联系方式：</w:t>
      </w:r>
    </w:p>
    <w:p>
      <w:pPr>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联系人：杨女士， 联系电话：0597-3298291</w:t>
      </w:r>
    </w:p>
    <w:p>
      <w:pPr>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地址：龙岩市新罗区金融中心B2栋农业银行14楼          </w:t>
      </w:r>
    </w:p>
    <w:p>
      <w:pPr>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龙岩市公共就业和人才服务中心1425办公室）</w:t>
      </w:r>
    </w:p>
    <w:p>
      <w:pPr>
        <w:jc w:val="left"/>
        <w:rPr>
          <w:rFonts w:ascii="仿宋_GB2312" w:hAnsi="黑体" w:eastAsia="仿宋_GB2312" w:cs="Times New Roman"/>
          <w:sz w:val="32"/>
          <w:szCs w:val="32"/>
        </w:rPr>
      </w:pPr>
    </w:p>
    <w:p>
      <w:pPr>
        <w:jc w:val="left"/>
        <w:rPr>
          <w:rFonts w:ascii="仿宋_GB2312" w:hAnsi="黑体" w:eastAsia="仿宋_GB2312" w:cs="Times New Roman"/>
          <w:sz w:val="32"/>
          <w:szCs w:val="32"/>
        </w:rPr>
        <w:sectPr>
          <w:pgSz w:w="11906" w:h="16838"/>
          <w:pgMar w:top="1440" w:right="1474" w:bottom="1440" w:left="1588" w:header="851" w:footer="992" w:gutter="0"/>
          <w:cols w:space="720" w:num="1"/>
          <w:docGrid w:type="linesAndChars" w:linePitch="312" w:charSpace="0"/>
        </w:sectPr>
      </w:pPr>
    </w:p>
    <w:p>
      <w:pPr>
        <w:spacing w:line="520" w:lineRule="exact"/>
        <w:jc w:val="center"/>
        <w:rPr>
          <w:rFonts w:ascii="宋体"/>
          <w:b/>
          <w:sz w:val="36"/>
          <w:szCs w:val="36"/>
        </w:rPr>
      </w:pPr>
      <w:r>
        <w:rPr>
          <w:rFonts w:hint="eastAsia" w:ascii="宋体"/>
          <w:b/>
          <w:sz w:val="36"/>
          <w:szCs w:val="36"/>
        </w:rPr>
        <w:t>福建省</w:t>
      </w:r>
      <w:r>
        <w:rPr>
          <w:rFonts w:ascii="宋体"/>
          <w:b/>
          <w:sz w:val="36"/>
          <w:szCs w:val="36"/>
        </w:rPr>
        <w:t>202</w:t>
      </w:r>
      <w:r>
        <w:rPr>
          <w:rFonts w:hint="eastAsia" w:ascii="宋体"/>
          <w:b/>
          <w:sz w:val="36"/>
          <w:szCs w:val="36"/>
        </w:rPr>
        <w:t>3年“三支一扶”计划省内高校毕业生报名人员考核汇总表（龙岩）</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学校：（盖章）</w:t>
      </w:r>
    </w:p>
    <w:tbl>
      <w:tblPr>
        <w:tblStyle w:val="5"/>
        <w:tblW w:w="14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643"/>
        <w:gridCol w:w="841"/>
        <w:gridCol w:w="909"/>
        <w:gridCol w:w="537"/>
        <w:gridCol w:w="817"/>
        <w:gridCol w:w="805"/>
        <w:gridCol w:w="843"/>
        <w:gridCol w:w="741"/>
        <w:gridCol w:w="1519"/>
        <w:gridCol w:w="830"/>
        <w:gridCol w:w="1073"/>
        <w:gridCol w:w="1333"/>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489" w:type="dxa"/>
            <w:vAlign w:val="center"/>
          </w:tcPr>
          <w:p>
            <w:pPr>
              <w:spacing w:line="5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643" w:type="dxa"/>
            <w:vAlign w:val="center"/>
          </w:tcPr>
          <w:p>
            <w:pPr>
              <w:spacing w:line="5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姓名</w:t>
            </w:r>
          </w:p>
        </w:tc>
        <w:tc>
          <w:tcPr>
            <w:tcW w:w="841" w:type="dxa"/>
            <w:vAlign w:val="center"/>
          </w:tcPr>
          <w:p>
            <w:pPr>
              <w:spacing w:line="5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身份证号</w:t>
            </w:r>
          </w:p>
        </w:tc>
        <w:tc>
          <w:tcPr>
            <w:tcW w:w="909" w:type="dxa"/>
            <w:vAlign w:val="center"/>
          </w:tcPr>
          <w:p>
            <w:pPr>
              <w:spacing w:line="5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生源地（精确到县）</w:t>
            </w:r>
          </w:p>
        </w:tc>
        <w:tc>
          <w:tcPr>
            <w:tcW w:w="537" w:type="dxa"/>
            <w:vAlign w:val="center"/>
          </w:tcPr>
          <w:p>
            <w:pPr>
              <w:spacing w:line="5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民族</w:t>
            </w:r>
          </w:p>
        </w:tc>
        <w:tc>
          <w:tcPr>
            <w:tcW w:w="817" w:type="dxa"/>
            <w:vAlign w:val="center"/>
          </w:tcPr>
          <w:p>
            <w:pPr>
              <w:spacing w:line="5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政治面貌</w:t>
            </w:r>
          </w:p>
        </w:tc>
        <w:tc>
          <w:tcPr>
            <w:tcW w:w="805" w:type="dxa"/>
            <w:vAlign w:val="center"/>
          </w:tcPr>
          <w:p>
            <w:pPr>
              <w:spacing w:line="5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是否属于全日制毕业生</w:t>
            </w:r>
          </w:p>
        </w:tc>
        <w:tc>
          <w:tcPr>
            <w:tcW w:w="843" w:type="dxa"/>
            <w:vAlign w:val="center"/>
          </w:tcPr>
          <w:p>
            <w:pPr>
              <w:spacing w:line="5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学历</w:t>
            </w:r>
          </w:p>
        </w:tc>
        <w:tc>
          <w:tcPr>
            <w:tcW w:w="741" w:type="dxa"/>
            <w:vAlign w:val="center"/>
          </w:tcPr>
          <w:p>
            <w:pPr>
              <w:spacing w:line="5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专业</w:t>
            </w:r>
          </w:p>
        </w:tc>
        <w:tc>
          <w:tcPr>
            <w:tcW w:w="1519" w:type="dxa"/>
            <w:vAlign w:val="center"/>
          </w:tcPr>
          <w:p>
            <w:pPr>
              <w:spacing w:line="5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报名单位</w:t>
            </w:r>
          </w:p>
        </w:tc>
        <w:tc>
          <w:tcPr>
            <w:tcW w:w="830" w:type="dxa"/>
            <w:vAlign w:val="center"/>
          </w:tcPr>
          <w:p>
            <w:pPr>
              <w:spacing w:line="5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专业成绩排名得分</w:t>
            </w:r>
          </w:p>
        </w:tc>
        <w:tc>
          <w:tcPr>
            <w:tcW w:w="1073" w:type="dxa"/>
            <w:vAlign w:val="center"/>
          </w:tcPr>
          <w:p>
            <w:pPr>
              <w:spacing w:line="5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专业成绩排名（</w:t>
            </w:r>
            <w:r>
              <w:rPr>
                <w:rFonts w:ascii="仿宋_GB2312" w:hAnsi="仿宋_GB2312" w:eastAsia="仿宋_GB2312" w:cs="仿宋_GB2312"/>
                <w:b/>
                <w:bCs/>
                <w:sz w:val="24"/>
              </w:rPr>
              <w:t>%</w:t>
            </w:r>
            <w:r>
              <w:rPr>
                <w:rFonts w:hint="eastAsia" w:ascii="仿宋_GB2312" w:hAnsi="仿宋_GB2312" w:eastAsia="仿宋_GB2312" w:cs="仿宋_GB2312"/>
                <w:b/>
                <w:bCs/>
                <w:sz w:val="24"/>
              </w:rPr>
              <w:t>，精确到小数点后两位）</w:t>
            </w:r>
          </w:p>
        </w:tc>
        <w:tc>
          <w:tcPr>
            <w:tcW w:w="1333" w:type="dxa"/>
            <w:vAlign w:val="center"/>
          </w:tcPr>
          <w:p>
            <w:pPr>
              <w:spacing w:line="5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获得荣誉（奖学金、奖项）情况得分</w:t>
            </w:r>
          </w:p>
        </w:tc>
        <w:tc>
          <w:tcPr>
            <w:tcW w:w="2746" w:type="dxa"/>
            <w:vAlign w:val="center"/>
          </w:tcPr>
          <w:p>
            <w:pPr>
              <w:spacing w:line="5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获得荣誉（奖学金、奖项）情况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89" w:type="dxa"/>
            <w:vAlign w:val="center"/>
          </w:tcPr>
          <w:p>
            <w:pPr>
              <w:spacing w:line="520" w:lineRule="exact"/>
              <w:jc w:val="center"/>
              <w:rPr>
                <w:rFonts w:ascii="仿宋_GB2312"/>
                <w:sz w:val="24"/>
              </w:rPr>
            </w:pPr>
          </w:p>
        </w:tc>
        <w:tc>
          <w:tcPr>
            <w:tcW w:w="643" w:type="dxa"/>
            <w:vAlign w:val="center"/>
          </w:tcPr>
          <w:p>
            <w:pPr>
              <w:spacing w:line="520" w:lineRule="exact"/>
              <w:jc w:val="center"/>
              <w:rPr>
                <w:rFonts w:ascii="仿宋_GB2312"/>
                <w:sz w:val="24"/>
              </w:rPr>
            </w:pPr>
          </w:p>
        </w:tc>
        <w:tc>
          <w:tcPr>
            <w:tcW w:w="841" w:type="dxa"/>
            <w:vAlign w:val="center"/>
          </w:tcPr>
          <w:p>
            <w:pPr>
              <w:spacing w:line="520" w:lineRule="exact"/>
              <w:jc w:val="center"/>
              <w:rPr>
                <w:rFonts w:ascii="仿宋_GB2312"/>
                <w:sz w:val="24"/>
              </w:rPr>
            </w:pPr>
          </w:p>
        </w:tc>
        <w:tc>
          <w:tcPr>
            <w:tcW w:w="909" w:type="dxa"/>
            <w:vAlign w:val="center"/>
          </w:tcPr>
          <w:p>
            <w:pPr>
              <w:spacing w:line="520" w:lineRule="exact"/>
              <w:jc w:val="center"/>
              <w:rPr>
                <w:rFonts w:ascii="仿宋_GB2312"/>
                <w:sz w:val="24"/>
              </w:rPr>
            </w:pPr>
          </w:p>
        </w:tc>
        <w:tc>
          <w:tcPr>
            <w:tcW w:w="537" w:type="dxa"/>
            <w:vAlign w:val="center"/>
          </w:tcPr>
          <w:p>
            <w:pPr>
              <w:spacing w:line="520" w:lineRule="exact"/>
              <w:jc w:val="center"/>
              <w:rPr>
                <w:rFonts w:ascii="仿宋_GB2312"/>
                <w:sz w:val="24"/>
              </w:rPr>
            </w:pPr>
          </w:p>
        </w:tc>
        <w:tc>
          <w:tcPr>
            <w:tcW w:w="817" w:type="dxa"/>
            <w:vAlign w:val="center"/>
          </w:tcPr>
          <w:p>
            <w:pPr>
              <w:spacing w:line="520" w:lineRule="exact"/>
              <w:jc w:val="center"/>
              <w:rPr>
                <w:rFonts w:ascii="仿宋_GB2312"/>
                <w:sz w:val="24"/>
              </w:rPr>
            </w:pPr>
          </w:p>
        </w:tc>
        <w:tc>
          <w:tcPr>
            <w:tcW w:w="805" w:type="dxa"/>
            <w:vAlign w:val="center"/>
          </w:tcPr>
          <w:p>
            <w:pPr>
              <w:spacing w:line="520" w:lineRule="exact"/>
              <w:jc w:val="center"/>
              <w:rPr>
                <w:rFonts w:ascii="仿宋_GB2312"/>
                <w:sz w:val="24"/>
              </w:rPr>
            </w:pPr>
          </w:p>
        </w:tc>
        <w:tc>
          <w:tcPr>
            <w:tcW w:w="843" w:type="dxa"/>
            <w:vAlign w:val="center"/>
          </w:tcPr>
          <w:p>
            <w:pPr>
              <w:spacing w:line="520" w:lineRule="exact"/>
              <w:jc w:val="center"/>
              <w:rPr>
                <w:rFonts w:ascii="仿宋_GB2312"/>
                <w:sz w:val="24"/>
              </w:rPr>
            </w:pPr>
          </w:p>
        </w:tc>
        <w:tc>
          <w:tcPr>
            <w:tcW w:w="741" w:type="dxa"/>
            <w:vAlign w:val="center"/>
          </w:tcPr>
          <w:p>
            <w:pPr>
              <w:spacing w:line="520" w:lineRule="exact"/>
              <w:jc w:val="center"/>
              <w:rPr>
                <w:rFonts w:ascii="仿宋_GB2312"/>
                <w:sz w:val="24"/>
              </w:rPr>
            </w:pPr>
          </w:p>
        </w:tc>
        <w:tc>
          <w:tcPr>
            <w:tcW w:w="1519" w:type="dxa"/>
            <w:vAlign w:val="center"/>
          </w:tcPr>
          <w:p>
            <w:pPr>
              <w:spacing w:line="520" w:lineRule="exact"/>
              <w:jc w:val="center"/>
              <w:rPr>
                <w:rFonts w:ascii="仿宋_GB2312"/>
                <w:sz w:val="24"/>
              </w:rPr>
            </w:pPr>
          </w:p>
        </w:tc>
        <w:tc>
          <w:tcPr>
            <w:tcW w:w="830" w:type="dxa"/>
            <w:vAlign w:val="center"/>
          </w:tcPr>
          <w:p>
            <w:pPr>
              <w:spacing w:line="520" w:lineRule="exact"/>
              <w:jc w:val="center"/>
              <w:rPr>
                <w:rFonts w:ascii="仿宋_GB2312"/>
                <w:sz w:val="24"/>
              </w:rPr>
            </w:pPr>
          </w:p>
        </w:tc>
        <w:tc>
          <w:tcPr>
            <w:tcW w:w="1073" w:type="dxa"/>
            <w:vAlign w:val="center"/>
          </w:tcPr>
          <w:p>
            <w:pPr>
              <w:spacing w:line="520" w:lineRule="exact"/>
              <w:jc w:val="center"/>
              <w:rPr>
                <w:rFonts w:ascii="仿宋_GB2312"/>
                <w:sz w:val="24"/>
              </w:rPr>
            </w:pPr>
          </w:p>
        </w:tc>
        <w:tc>
          <w:tcPr>
            <w:tcW w:w="1333" w:type="dxa"/>
            <w:vAlign w:val="center"/>
          </w:tcPr>
          <w:p>
            <w:pPr>
              <w:spacing w:line="520" w:lineRule="exact"/>
              <w:jc w:val="center"/>
              <w:rPr>
                <w:rFonts w:ascii="仿宋_GB2312"/>
                <w:sz w:val="24"/>
              </w:rPr>
            </w:pPr>
          </w:p>
        </w:tc>
        <w:tc>
          <w:tcPr>
            <w:tcW w:w="2746" w:type="dxa"/>
            <w:vAlign w:val="center"/>
          </w:tcPr>
          <w:p>
            <w:pPr>
              <w:spacing w:line="52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89" w:type="dxa"/>
            <w:vAlign w:val="center"/>
          </w:tcPr>
          <w:p>
            <w:pPr>
              <w:spacing w:line="520" w:lineRule="exact"/>
              <w:jc w:val="center"/>
              <w:rPr>
                <w:rFonts w:ascii="仿宋_GB2312"/>
                <w:sz w:val="24"/>
              </w:rPr>
            </w:pPr>
          </w:p>
        </w:tc>
        <w:tc>
          <w:tcPr>
            <w:tcW w:w="643" w:type="dxa"/>
            <w:vAlign w:val="center"/>
          </w:tcPr>
          <w:p>
            <w:pPr>
              <w:spacing w:line="520" w:lineRule="exact"/>
              <w:jc w:val="center"/>
              <w:rPr>
                <w:rFonts w:ascii="仿宋_GB2312"/>
                <w:sz w:val="24"/>
              </w:rPr>
            </w:pPr>
          </w:p>
        </w:tc>
        <w:tc>
          <w:tcPr>
            <w:tcW w:w="841" w:type="dxa"/>
            <w:vAlign w:val="center"/>
          </w:tcPr>
          <w:p>
            <w:pPr>
              <w:spacing w:line="520" w:lineRule="exact"/>
              <w:jc w:val="center"/>
              <w:rPr>
                <w:rFonts w:ascii="仿宋_GB2312"/>
                <w:sz w:val="24"/>
              </w:rPr>
            </w:pPr>
          </w:p>
        </w:tc>
        <w:tc>
          <w:tcPr>
            <w:tcW w:w="909" w:type="dxa"/>
            <w:vAlign w:val="center"/>
          </w:tcPr>
          <w:p>
            <w:pPr>
              <w:spacing w:line="520" w:lineRule="exact"/>
              <w:jc w:val="center"/>
              <w:rPr>
                <w:rFonts w:ascii="仿宋_GB2312"/>
                <w:sz w:val="24"/>
              </w:rPr>
            </w:pPr>
          </w:p>
        </w:tc>
        <w:tc>
          <w:tcPr>
            <w:tcW w:w="537" w:type="dxa"/>
            <w:vAlign w:val="center"/>
          </w:tcPr>
          <w:p>
            <w:pPr>
              <w:spacing w:line="520" w:lineRule="exact"/>
              <w:jc w:val="center"/>
              <w:rPr>
                <w:rFonts w:ascii="仿宋_GB2312"/>
                <w:sz w:val="24"/>
              </w:rPr>
            </w:pPr>
          </w:p>
        </w:tc>
        <w:tc>
          <w:tcPr>
            <w:tcW w:w="817" w:type="dxa"/>
            <w:vAlign w:val="center"/>
          </w:tcPr>
          <w:p>
            <w:pPr>
              <w:spacing w:line="520" w:lineRule="exact"/>
              <w:jc w:val="center"/>
              <w:rPr>
                <w:rFonts w:ascii="仿宋_GB2312"/>
                <w:sz w:val="24"/>
              </w:rPr>
            </w:pPr>
          </w:p>
        </w:tc>
        <w:tc>
          <w:tcPr>
            <w:tcW w:w="805" w:type="dxa"/>
            <w:vAlign w:val="center"/>
          </w:tcPr>
          <w:p>
            <w:pPr>
              <w:spacing w:line="520" w:lineRule="exact"/>
              <w:jc w:val="center"/>
              <w:rPr>
                <w:rFonts w:ascii="仿宋_GB2312"/>
                <w:sz w:val="24"/>
              </w:rPr>
            </w:pPr>
          </w:p>
        </w:tc>
        <w:tc>
          <w:tcPr>
            <w:tcW w:w="843" w:type="dxa"/>
            <w:vAlign w:val="center"/>
          </w:tcPr>
          <w:p>
            <w:pPr>
              <w:spacing w:line="520" w:lineRule="exact"/>
              <w:jc w:val="center"/>
              <w:rPr>
                <w:rFonts w:ascii="仿宋_GB2312"/>
                <w:sz w:val="24"/>
              </w:rPr>
            </w:pPr>
          </w:p>
        </w:tc>
        <w:tc>
          <w:tcPr>
            <w:tcW w:w="741" w:type="dxa"/>
            <w:vAlign w:val="center"/>
          </w:tcPr>
          <w:p>
            <w:pPr>
              <w:spacing w:line="520" w:lineRule="exact"/>
              <w:jc w:val="center"/>
              <w:rPr>
                <w:rFonts w:ascii="仿宋_GB2312"/>
                <w:sz w:val="24"/>
              </w:rPr>
            </w:pPr>
          </w:p>
        </w:tc>
        <w:tc>
          <w:tcPr>
            <w:tcW w:w="1519" w:type="dxa"/>
            <w:vAlign w:val="center"/>
          </w:tcPr>
          <w:p>
            <w:pPr>
              <w:spacing w:line="520" w:lineRule="exact"/>
              <w:jc w:val="center"/>
              <w:rPr>
                <w:rFonts w:ascii="仿宋_GB2312"/>
                <w:sz w:val="24"/>
              </w:rPr>
            </w:pPr>
          </w:p>
        </w:tc>
        <w:tc>
          <w:tcPr>
            <w:tcW w:w="830" w:type="dxa"/>
            <w:vAlign w:val="center"/>
          </w:tcPr>
          <w:p>
            <w:pPr>
              <w:spacing w:line="520" w:lineRule="exact"/>
              <w:jc w:val="center"/>
              <w:rPr>
                <w:rFonts w:ascii="仿宋_GB2312"/>
                <w:sz w:val="24"/>
              </w:rPr>
            </w:pPr>
          </w:p>
        </w:tc>
        <w:tc>
          <w:tcPr>
            <w:tcW w:w="1073" w:type="dxa"/>
            <w:vAlign w:val="center"/>
          </w:tcPr>
          <w:p>
            <w:pPr>
              <w:spacing w:line="520" w:lineRule="exact"/>
              <w:jc w:val="center"/>
              <w:rPr>
                <w:rFonts w:ascii="仿宋_GB2312"/>
                <w:sz w:val="24"/>
              </w:rPr>
            </w:pPr>
          </w:p>
        </w:tc>
        <w:tc>
          <w:tcPr>
            <w:tcW w:w="1333" w:type="dxa"/>
            <w:vAlign w:val="center"/>
          </w:tcPr>
          <w:p>
            <w:pPr>
              <w:spacing w:line="520" w:lineRule="exact"/>
              <w:jc w:val="center"/>
              <w:rPr>
                <w:rFonts w:ascii="仿宋_GB2312"/>
                <w:sz w:val="24"/>
              </w:rPr>
            </w:pPr>
          </w:p>
        </w:tc>
        <w:tc>
          <w:tcPr>
            <w:tcW w:w="2746" w:type="dxa"/>
            <w:vAlign w:val="center"/>
          </w:tcPr>
          <w:p>
            <w:pPr>
              <w:spacing w:line="52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89" w:type="dxa"/>
            <w:vAlign w:val="center"/>
          </w:tcPr>
          <w:p>
            <w:pPr>
              <w:spacing w:line="520" w:lineRule="exact"/>
              <w:jc w:val="center"/>
              <w:rPr>
                <w:rFonts w:ascii="仿宋_GB2312"/>
                <w:sz w:val="24"/>
              </w:rPr>
            </w:pPr>
          </w:p>
        </w:tc>
        <w:tc>
          <w:tcPr>
            <w:tcW w:w="643" w:type="dxa"/>
            <w:vAlign w:val="center"/>
          </w:tcPr>
          <w:p>
            <w:pPr>
              <w:spacing w:line="520" w:lineRule="exact"/>
              <w:jc w:val="center"/>
              <w:rPr>
                <w:rFonts w:ascii="仿宋_GB2312"/>
                <w:sz w:val="24"/>
              </w:rPr>
            </w:pPr>
          </w:p>
        </w:tc>
        <w:tc>
          <w:tcPr>
            <w:tcW w:w="841" w:type="dxa"/>
            <w:vAlign w:val="center"/>
          </w:tcPr>
          <w:p>
            <w:pPr>
              <w:spacing w:line="520" w:lineRule="exact"/>
              <w:jc w:val="center"/>
              <w:rPr>
                <w:rFonts w:ascii="仿宋_GB2312"/>
                <w:sz w:val="24"/>
              </w:rPr>
            </w:pPr>
          </w:p>
        </w:tc>
        <w:tc>
          <w:tcPr>
            <w:tcW w:w="909" w:type="dxa"/>
            <w:vAlign w:val="center"/>
          </w:tcPr>
          <w:p>
            <w:pPr>
              <w:spacing w:line="520" w:lineRule="exact"/>
              <w:jc w:val="center"/>
              <w:rPr>
                <w:rFonts w:ascii="仿宋_GB2312"/>
                <w:sz w:val="24"/>
              </w:rPr>
            </w:pPr>
          </w:p>
        </w:tc>
        <w:tc>
          <w:tcPr>
            <w:tcW w:w="537" w:type="dxa"/>
            <w:vAlign w:val="center"/>
          </w:tcPr>
          <w:p>
            <w:pPr>
              <w:spacing w:line="520" w:lineRule="exact"/>
              <w:jc w:val="center"/>
              <w:rPr>
                <w:rFonts w:ascii="仿宋_GB2312"/>
                <w:sz w:val="24"/>
              </w:rPr>
            </w:pPr>
          </w:p>
        </w:tc>
        <w:tc>
          <w:tcPr>
            <w:tcW w:w="817" w:type="dxa"/>
            <w:vAlign w:val="center"/>
          </w:tcPr>
          <w:p>
            <w:pPr>
              <w:spacing w:line="520" w:lineRule="exact"/>
              <w:jc w:val="center"/>
              <w:rPr>
                <w:rFonts w:ascii="仿宋_GB2312"/>
                <w:sz w:val="24"/>
              </w:rPr>
            </w:pPr>
          </w:p>
        </w:tc>
        <w:tc>
          <w:tcPr>
            <w:tcW w:w="805" w:type="dxa"/>
            <w:vAlign w:val="center"/>
          </w:tcPr>
          <w:p>
            <w:pPr>
              <w:spacing w:line="520" w:lineRule="exact"/>
              <w:jc w:val="center"/>
              <w:rPr>
                <w:rFonts w:ascii="仿宋_GB2312"/>
                <w:sz w:val="24"/>
              </w:rPr>
            </w:pPr>
          </w:p>
        </w:tc>
        <w:tc>
          <w:tcPr>
            <w:tcW w:w="843" w:type="dxa"/>
            <w:vAlign w:val="center"/>
          </w:tcPr>
          <w:p>
            <w:pPr>
              <w:spacing w:line="520" w:lineRule="exact"/>
              <w:jc w:val="center"/>
              <w:rPr>
                <w:rFonts w:ascii="仿宋_GB2312"/>
                <w:sz w:val="24"/>
              </w:rPr>
            </w:pPr>
          </w:p>
        </w:tc>
        <w:tc>
          <w:tcPr>
            <w:tcW w:w="741" w:type="dxa"/>
            <w:vAlign w:val="center"/>
          </w:tcPr>
          <w:p>
            <w:pPr>
              <w:spacing w:line="520" w:lineRule="exact"/>
              <w:jc w:val="center"/>
              <w:rPr>
                <w:rFonts w:ascii="仿宋_GB2312"/>
                <w:sz w:val="24"/>
              </w:rPr>
            </w:pPr>
          </w:p>
        </w:tc>
        <w:tc>
          <w:tcPr>
            <w:tcW w:w="1519" w:type="dxa"/>
            <w:vAlign w:val="center"/>
          </w:tcPr>
          <w:p>
            <w:pPr>
              <w:spacing w:line="520" w:lineRule="exact"/>
              <w:jc w:val="center"/>
              <w:rPr>
                <w:rFonts w:ascii="仿宋_GB2312"/>
                <w:sz w:val="24"/>
              </w:rPr>
            </w:pPr>
          </w:p>
        </w:tc>
        <w:tc>
          <w:tcPr>
            <w:tcW w:w="830" w:type="dxa"/>
            <w:vAlign w:val="center"/>
          </w:tcPr>
          <w:p>
            <w:pPr>
              <w:spacing w:line="520" w:lineRule="exact"/>
              <w:jc w:val="center"/>
              <w:rPr>
                <w:rFonts w:ascii="仿宋_GB2312"/>
                <w:sz w:val="24"/>
              </w:rPr>
            </w:pPr>
          </w:p>
        </w:tc>
        <w:tc>
          <w:tcPr>
            <w:tcW w:w="1073" w:type="dxa"/>
            <w:vAlign w:val="center"/>
          </w:tcPr>
          <w:p>
            <w:pPr>
              <w:spacing w:line="520" w:lineRule="exact"/>
              <w:jc w:val="center"/>
              <w:rPr>
                <w:rFonts w:ascii="仿宋_GB2312"/>
                <w:sz w:val="24"/>
              </w:rPr>
            </w:pPr>
          </w:p>
        </w:tc>
        <w:tc>
          <w:tcPr>
            <w:tcW w:w="1333" w:type="dxa"/>
            <w:vAlign w:val="center"/>
          </w:tcPr>
          <w:p>
            <w:pPr>
              <w:spacing w:line="520" w:lineRule="exact"/>
              <w:jc w:val="center"/>
              <w:rPr>
                <w:rFonts w:ascii="仿宋_GB2312"/>
                <w:sz w:val="24"/>
              </w:rPr>
            </w:pPr>
          </w:p>
        </w:tc>
        <w:tc>
          <w:tcPr>
            <w:tcW w:w="2746" w:type="dxa"/>
            <w:vAlign w:val="center"/>
          </w:tcPr>
          <w:p>
            <w:pPr>
              <w:spacing w:line="520" w:lineRule="exact"/>
              <w:jc w:val="center"/>
              <w:rPr>
                <w:rFonts w:ascii="仿宋_GB2312"/>
                <w:sz w:val="24"/>
              </w:rPr>
            </w:pPr>
          </w:p>
        </w:tc>
      </w:tr>
    </w:tbl>
    <w:p>
      <w:pPr>
        <w:spacing w:line="520" w:lineRule="exact"/>
        <w:rPr>
          <w:rFonts w:ascii="宋体" w:hAnsi="宋体" w:eastAsia="宋体" w:cs="宋体"/>
          <w:bCs/>
          <w:sz w:val="24"/>
          <w:szCs w:val="24"/>
        </w:rPr>
      </w:pPr>
      <w:r>
        <w:rPr>
          <w:rFonts w:hint="eastAsia" w:ascii="宋体" w:hAnsi="宋体" w:eastAsia="宋体" w:cs="宋体"/>
          <w:bCs/>
          <w:sz w:val="24"/>
          <w:szCs w:val="24"/>
        </w:rPr>
        <w:t>注：1.获得荣誉情况得分按就高不重复原则评分；</w:t>
      </w:r>
    </w:p>
    <w:p>
      <w:pPr>
        <w:spacing w:line="520" w:lineRule="exact"/>
        <w:rPr>
          <w:rFonts w:ascii="宋体" w:hAnsi="宋体" w:eastAsia="宋体" w:cs="宋体"/>
          <w:bCs/>
          <w:sz w:val="24"/>
          <w:szCs w:val="24"/>
        </w:rPr>
      </w:pPr>
      <w:r>
        <w:rPr>
          <w:rFonts w:hint="eastAsia" w:ascii="宋体" w:hAnsi="宋体" w:eastAsia="宋体" w:cs="宋体"/>
          <w:bCs/>
          <w:sz w:val="24"/>
          <w:szCs w:val="24"/>
        </w:rPr>
        <w:t xml:space="preserve">    2.各院校应在6月30日前（以寄出邮戳为准）将本表加盖院校或就业工作部门公章后报送龙岩市人社局，逾期不予受理。</w:t>
      </w:r>
    </w:p>
    <w:p>
      <w:pPr>
        <w:spacing w:line="520" w:lineRule="exact"/>
        <w:rPr>
          <w:rFonts w:ascii="宋体" w:hAnsi="宋体" w:cs="宋体"/>
          <w:sz w:val="24"/>
        </w:rPr>
      </w:pPr>
      <w:r>
        <w:rPr>
          <w:rFonts w:hint="eastAsia" w:ascii="宋体" w:hAnsi="宋体" w:eastAsia="宋体" w:cs="宋体"/>
          <w:sz w:val="24"/>
          <w:szCs w:val="24"/>
        </w:rPr>
        <w:t>高校填表人：</w:t>
      </w:r>
      <w:r>
        <w:rPr>
          <w:rFonts w:ascii="宋体" w:hAnsi="宋体" w:cs="宋体"/>
          <w:sz w:val="24"/>
          <w:szCs w:val="24"/>
        </w:rPr>
        <w:t>(必填)</w:t>
      </w:r>
      <w:r>
        <w:rPr>
          <w:rFonts w:hint="eastAsia" w:ascii="宋体" w:hAnsi="宋体" w:eastAsia="宋体" w:cs="宋体"/>
          <w:sz w:val="24"/>
          <w:szCs w:val="24"/>
        </w:rPr>
        <w:t xml:space="preserve">                            </w:t>
      </w:r>
      <w:r>
        <w:rPr>
          <w:rFonts w:hint="eastAsia" w:ascii="宋体" w:hAnsi="宋体" w:cs="宋体"/>
          <w:sz w:val="24"/>
          <w:szCs w:val="24"/>
        </w:rPr>
        <w:t xml:space="preserve">           </w:t>
      </w:r>
      <w:r>
        <w:rPr>
          <w:rFonts w:hint="eastAsia" w:ascii="宋体" w:hAnsi="宋体" w:eastAsia="宋体" w:cs="宋体"/>
          <w:sz w:val="24"/>
          <w:szCs w:val="24"/>
        </w:rPr>
        <w:t xml:space="preserve"> </w:t>
      </w:r>
      <w:r>
        <w:rPr>
          <w:rFonts w:hint="eastAsia" w:ascii="宋体" w:hAnsi="宋体" w:cs="宋体"/>
          <w:sz w:val="24"/>
          <w:szCs w:val="24"/>
        </w:rPr>
        <w:t xml:space="preserve">            高校</w:t>
      </w:r>
      <w:r>
        <w:rPr>
          <w:rFonts w:hint="eastAsia" w:ascii="宋体" w:hAnsi="宋体" w:eastAsia="宋体" w:cs="宋体"/>
          <w:sz w:val="24"/>
          <w:szCs w:val="24"/>
        </w:rPr>
        <w:t>联系电话：</w:t>
      </w:r>
      <w:r>
        <w:rPr>
          <w:rFonts w:ascii="宋体" w:hAnsi="宋体" w:cs="宋体"/>
          <w:sz w:val="24"/>
          <w:szCs w:val="24"/>
        </w:rPr>
        <w:t>(必填)</w:t>
      </w:r>
      <w:r>
        <w:rPr>
          <w:rFonts w:hint="eastAsia" w:ascii="宋体" w:hAnsi="宋体" w:eastAsia="宋体" w:cs="宋体"/>
          <w:sz w:val="24"/>
          <w:szCs w:val="24"/>
        </w:rPr>
        <w:t xml:space="preserve">  </w:t>
      </w:r>
    </w:p>
    <w:p>
      <w:pPr>
        <w:jc w:val="left"/>
        <w:rPr>
          <w:rFonts w:ascii="仿宋_GB2312" w:hAnsi="黑体" w:eastAsia="仿宋_GB2312" w:cs="Times New Roman"/>
          <w:sz w:val="32"/>
          <w:szCs w:val="32"/>
        </w:rPr>
      </w:pPr>
    </w:p>
    <w:p>
      <w:pPr>
        <w:jc w:val="left"/>
        <w:rPr>
          <w:rFonts w:ascii="仿宋_GB2312" w:hAnsi="黑体" w:eastAsia="仿宋_GB2312" w:cs="Times New Roman"/>
          <w:sz w:val="32"/>
          <w:szCs w:val="32"/>
        </w:rPr>
        <w:sectPr>
          <w:pgSz w:w="16838" w:h="11906" w:orient="landscape"/>
          <w:pgMar w:top="1588" w:right="1440" w:bottom="1474" w:left="1440" w:header="851" w:footer="992"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7448C"/>
    <w:multiLevelType w:val="singleLevel"/>
    <w:tmpl w:val="4597448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40A9A"/>
    <w:rsid w:val="42C40A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2023-05-15T01:35:00Z</dcterms:created>
  <dc:creator>.</dc:creator>
  <cp:lastModifiedBy>.</cp:lastModifiedBy>
  <dcterms:modified xsi:type="dcterms:W3CDTF">2023-05-15T01:36:04Z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